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SERVICIOS AMBIENTALES PINPEP/PROBOSQUE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Ley PINPEP (Decreto 51-2010) o Ley PROBOSQUE (Decreto 2-2015)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INAB'.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BENEFICIARIO PROPIETARIO/POSEEDOR'.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Incentivo económico al propietario o poseedor por servicios ambientales (protección, manejo o reforestación).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Otorgamiento de incentivo forestal al beneficiario por [protección/manejo/reforestación] de [#] hectáreas en [LOCACIÓN].</w:t>
      </w:r>
    </w:p>
    <w:p>
      <w:pPr>
        <w:jc w:val="left"/>
      </w:pPr>
      <w:r>
        <w:rPr>
          <w:b/>
          <w:color w:val="2E4E7C"/>
          <w:sz w:val="22"/>
        </w:rPr>
        <w:t>SEGUNDA: MODALIDAD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[PINPEP — pequeños poseedores / PROBOSQUE — todos]</w:t>
      </w:r>
    </w:p>
    <w:p>
      <w:pPr>
        <w:jc w:val="left"/>
      </w:pPr>
      <w:r>
        <w:rPr>
          <w:b/>
          <w:color w:val="2E4E7C"/>
          <w:sz w:val="22"/>
        </w:rPr>
        <w:t>TERCERA: PLAZO Y MONTO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años; Q[#]/hectárea/año.</w:t>
      </w:r>
    </w:p>
    <w:p>
      <w:pPr>
        <w:jc w:val="left"/>
      </w:pPr>
      <w:r>
        <w:rPr>
          <w:b/>
          <w:color w:val="2E4E7C"/>
          <w:sz w:val="22"/>
        </w:rPr>
        <w:t>CUARTA: OBLIGACIONES DEL BENEFICIARIO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Mantener cobertura forestal; permitir inspecciones INAB; cumplir plan de manejo; no cambiar uso del suelo.</w:t>
      </w:r>
    </w:p>
    <w:p>
      <w:pPr>
        <w:jc w:val="left"/>
      </w:pPr>
      <w:r>
        <w:rPr>
          <w:b/>
          <w:color w:val="2E4E7C"/>
          <w:sz w:val="22"/>
        </w:rPr>
        <w:t>QUINTA: PLAN DE MANEJO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Aprobado por el INAB; ejecutar conforme cronograma.</w:t>
      </w:r>
    </w:p>
    <w:p>
      <w:pPr>
        <w:jc w:val="left"/>
      </w:pPr>
      <w:r>
        <w:rPr>
          <w:b/>
          <w:color w:val="2E4E7C"/>
          <w:sz w:val="22"/>
        </w:rPr>
        <w:t>SEXTA: INSPECCIONES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Periódicas por INAB.</w:t>
      </w:r>
    </w:p>
    <w:p>
      <w:pPr>
        <w:jc w:val="left"/>
      </w:pPr>
      <w:r>
        <w:rPr>
          <w:b/>
          <w:color w:val="2E4E7C"/>
          <w:sz w:val="22"/>
        </w:rPr>
        <w:t>SÉPTIMA: INCUMPLIMIENTO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Suspensión del incentivo y restitución de fondos.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AGRUPACIÓN DE BENEFICIARIOS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Múltiples pequeños propietarios en un solo expediente.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INAB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BENEFICIARIO PROPIETARIO/POSEEDOR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Bases: Decreto 51-2010 (PINPEP) y Decreto 2-2015 (PROBOSQUE).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Coordinado por INAB (Instituto Nacional de Bosques).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Importante mecanismo de conservación forestal.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Beneficiarios principales: pequeños poseedores y propietarios.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[PINPEP]</w:t>
            </w:r>
          </w:p>
        </w:tc>
        <w:tc>
          <w:tcPr>
            <w:tcW w:type="dxa" w:w="4703"/>
          </w:tcPr>
          <w:p>
            <w:r>
              <w:t>Programa de Incentivos para Pequeños Poseedores.</w:t>
            </w:r>
          </w:p>
        </w:tc>
      </w:tr>
      <w:tr>
        <w:tc>
          <w:tcPr>
            <w:tcW w:type="dxa" w:w="4703"/>
          </w:tcPr>
          <w:p>
            <w:r>
              <w:t>[PROBOSQUE]</w:t>
            </w:r>
          </w:p>
        </w:tc>
        <w:tc>
          <w:tcPr>
            <w:tcW w:type="dxa" w:w="4703"/>
          </w:tcPr>
          <w:p>
            <w:r>
              <w:t>Programa de Bosques.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Acreditación de propiedad/posesión</w:t>
      </w:r>
    </w:p>
    <w:p>
      <w:r>
        <w:rPr>
          <w:rFonts w:ascii="Calibri" w:hAnsi="Calibri"/>
          <w:b w:val="0"/>
          <w:i w:val="0"/>
          <w:sz w:val="21"/>
        </w:rPr>
        <w:t>☐  Plan de manejo forestal</w:t>
      </w:r>
    </w:p>
    <w:p>
      <w:r>
        <w:rPr>
          <w:rFonts w:ascii="Calibri" w:hAnsi="Calibri"/>
          <w:b w:val="0"/>
          <w:i w:val="0"/>
          <w:sz w:val="21"/>
        </w:rPr>
        <w:t>☐  Cédula vecinal/DPI</w:t>
      </w:r>
    </w:p>
    <w:p>
      <w:r>
        <w:rPr>
          <w:rFonts w:ascii="Calibri" w:hAnsi="Calibri"/>
          <w:b w:val="0"/>
          <w:i w:val="0"/>
          <w:sz w:val="21"/>
        </w:rPr>
        <w:t>☐  NIT</w:t>
      </w:r>
    </w:p>
    <w:p>
      <w:r>
        <w:rPr>
          <w:rFonts w:ascii="Calibri" w:hAnsi="Calibri"/>
          <w:b w:val="0"/>
          <w:i w:val="0"/>
          <w:sz w:val="21"/>
        </w:rPr>
        <w:t>☐  Análisis técnico INAB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